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2BA" w14:textId="77777777" w:rsidR="004411BF" w:rsidRPr="00CD61B7" w:rsidRDefault="004411BF" w:rsidP="004411BF">
      <w:pPr>
        <w:rPr>
          <w:rFonts w:ascii="Arial" w:hAnsi="Arial" w:cs="Arial"/>
          <w:szCs w:val="22"/>
        </w:rPr>
      </w:pPr>
      <w:r w:rsidRPr="00F117F0">
        <w:rPr>
          <w:rFonts w:ascii="Arial" w:hAnsi="Arial"/>
          <w:szCs w:val="22"/>
          <w:u w:val="single"/>
        </w:rPr>
        <w:t>State Environmental Planning Policy (Precincts—Western Parkland City) 2021</w:t>
      </w:r>
    </w:p>
    <w:p w14:paraId="0BF1A3AE" w14:textId="77777777" w:rsidR="004411BF" w:rsidRDefault="004411BF" w:rsidP="004411BF">
      <w:pPr>
        <w:spacing w:before="60" w:after="60"/>
        <w:jc w:val="both"/>
        <w:rPr>
          <w:rFonts w:ascii="Arial" w:hAnsi="Arial" w:cs="Arial"/>
          <w:szCs w:val="22"/>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709"/>
      </w:tblGrid>
      <w:tr w:rsidR="004411BF" w:rsidRPr="00D30948" w14:paraId="29865AEF" w14:textId="77777777" w:rsidTr="00EC65EF">
        <w:trPr>
          <w:trHeight w:val="214"/>
        </w:trPr>
        <w:tc>
          <w:tcPr>
            <w:tcW w:w="4395" w:type="dxa"/>
            <w:shd w:val="clear" w:color="auto" w:fill="BFBFBF"/>
          </w:tcPr>
          <w:p w14:paraId="5020EFF9" w14:textId="77777777" w:rsidR="004411BF" w:rsidRPr="00D30948" w:rsidRDefault="004411BF" w:rsidP="00EC65EF">
            <w:pPr>
              <w:spacing w:before="20" w:after="20"/>
              <w:contextualSpacing/>
              <w:rPr>
                <w:rFonts w:ascii="Arial" w:hAnsi="Arial" w:cs="Arial"/>
                <w:b/>
                <w:bCs/>
                <w:szCs w:val="22"/>
                <w:lang w:eastAsia="en-AU"/>
              </w:rPr>
            </w:pPr>
            <w:r w:rsidRPr="00D30948">
              <w:rPr>
                <w:rFonts w:ascii="Arial" w:hAnsi="Arial" w:cs="Arial"/>
                <w:b/>
                <w:bCs/>
                <w:szCs w:val="22"/>
                <w:lang w:eastAsia="en-AU"/>
              </w:rPr>
              <w:t>Clause</w:t>
            </w:r>
          </w:p>
        </w:tc>
        <w:tc>
          <w:tcPr>
            <w:tcW w:w="4111" w:type="dxa"/>
            <w:shd w:val="clear" w:color="auto" w:fill="BFBFBF"/>
          </w:tcPr>
          <w:p w14:paraId="1AA31247" w14:textId="77777777" w:rsidR="004411BF" w:rsidRPr="00D30948" w:rsidRDefault="004411BF" w:rsidP="00EC65EF">
            <w:pPr>
              <w:spacing w:before="20" w:after="20"/>
              <w:contextualSpacing/>
              <w:rPr>
                <w:rFonts w:ascii="Arial" w:hAnsi="Arial" w:cs="Arial"/>
                <w:b/>
                <w:bCs/>
                <w:szCs w:val="22"/>
                <w:lang w:eastAsia="en-AU"/>
              </w:rPr>
            </w:pPr>
            <w:r w:rsidRPr="00D30948">
              <w:rPr>
                <w:rFonts w:ascii="Arial" w:hAnsi="Arial" w:cs="Arial"/>
                <w:b/>
                <w:bCs/>
                <w:szCs w:val="22"/>
                <w:lang w:eastAsia="en-AU"/>
              </w:rPr>
              <w:t>Assessment</w:t>
            </w:r>
          </w:p>
        </w:tc>
        <w:tc>
          <w:tcPr>
            <w:tcW w:w="709" w:type="dxa"/>
            <w:shd w:val="clear" w:color="auto" w:fill="BFBFBF"/>
          </w:tcPr>
          <w:p w14:paraId="7D00FA11" w14:textId="77777777" w:rsidR="004411BF" w:rsidRPr="00D30948" w:rsidRDefault="004411BF" w:rsidP="00EC65EF">
            <w:pPr>
              <w:tabs>
                <w:tab w:val="left" w:pos="7263"/>
              </w:tabs>
              <w:spacing w:before="20" w:after="20"/>
              <w:ind w:right="-108"/>
              <w:contextualSpacing/>
              <w:rPr>
                <w:rFonts w:ascii="Arial" w:hAnsi="Arial" w:cs="Arial"/>
                <w:b/>
                <w:bCs/>
                <w:szCs w:val="22"/>
                <w:lang w:eastAsia="en-AU"/>
              </w:rPr>
            </w:pPr>
            <w:r>
              <w:rPr>
                <w:rFonts w:ascii="Arial" w:hAnsi="Arial" w:cs="Arial"/>
                <w:b/>
                <w:bCs/>
                <w:szCs w:val="22"/>
                <w:lang w:eastAsia="en-AU"/>
              </w:rPr>
              <w:t>Y / N</w:t>
            </w:r>
          </w:p>
        </w:tc>
      </w:tr>
      <w:tr w:rsidR="004411BF" w:rsidRPr="00D30948" w14:paraId="0C6226FE" w14:textId="77777777" w:rsidTr="00EC65EF">
        <w:trPr>
          <w:trHeight w:val="214"/>
        </w:trPr>
        <w:tc>
          <w:tcPr>
            <w:tcW w:w="4395" w:type="dxa"/>
            <w:shd w:val="clear" w:color="auto" w:fill="auto"/>
          </w:tcPr>
          <w:p w14:paraId="225B46F0" w14:textId="77777777" w:rsidR="004411BF" w:rsidRPr="00D30948" w:rsidRDefault="004411BF" w:rsidP="00EC65EF">
            <w:pPr>
              <w:spacing w:before="20" w:after="20"/>
              <w:contextualSpacing/>
              <w:jc w:val="both"/>
              <w:rPr>
                <w:rFonts w:ascii="Arial" w:hAnsi="Arial" w:cs="Arial"/>
                <w:b/>
                <w:szCs w:val="22"/>
                <w:lang w:eastAsia="en-AU"/>
              </w:rPr>
            </w:pPr>
            <w:r w:rsidRPr="00D30948">
              <w:rPr>
                <w:rFonts w:ascii="Arial" w:hAnsi="Arial" w:cs="Arial"/>
                <w:b/>
                <w:szCs w:val="22"/>
                <w:lang w:eastAsia="en-AU"/>
              </w:rPr>
              <w:t>Appendix 1, 2.3 Zone objectives and land use table</w:t>
            </w:r>
          </w:p>
          <w:p w14:paraId="22BD1CF0" w14:textId="77777777" w:rsidR="004411BF" w:rsidRPr="00D30948" w:rsidRDefault="004411BF" w:rsidP="00EC65EF">
            <w:pPr>
              <w:spacing w:before="20" w:after="20"/>
              <w:contextualSpacing/>
              <w:jc w:val="both"/>
              <w:rPr>
                <w:rFonts w:ascii="Arial" w:hAnsi="Arial" w:cs="Arial"/>
                <w:szCs w:val="22"/>
                <w:lang w:eastAsia="en-AU"/>
              </w:rPr>
            </w:pPr>
          </w:p>
          <w:p w14:paraId="4C0BDC0F" w14:textId="77777777" w:rsidR="004411BF" w:rsidRPr="00D30948" w:rsidRDefault="004411BF" w:rsidP="00EC65EF">
            <w:pPr>
              <w:spacing w:before="20" w:after="20"/>
              <w:contextualSpacing/>
              <w:jc w:val="both"/>
              <w:rPr>
                <w:rFonts w:ascii="Arial" w:hAnsi="Arial" w:cs="Arial"/>
                <w:szCs w:val="22"/>
                <w:lang w:eastAsia="en-AU"/>
              </w:rPr>
            </w:pPr>
            <w:r w:rsidRPr="00D30948">
              <w:rPr>
                <w:rFonts w:ascii="Arial" w:hAnsi="Arial" w:cs="Arial"/>
                <w:szCs w:val="22"/>
                <w:lang w:eastAsia="en-AU"/>
              </w:rPr>
              <w:t>The land use table for each zone sets out what development is permitted without consent, permitted with consent and prohibited.</w:t>
            </w:r>
          </w:p>
          <w:p w14:paraId="7E06001D" w14:textId="77777777" w:rsidR="004411BF" w:rsidRPr="00D30948" w:rsidRDefault="004411BF" w:rsidP="00EC65EF">
            <w:pPr>
              <w:spacing w:before="20" w:after="20"/>
              <w:contextualSpacing/>
              <w:jc w:val="both"/>
              <w:rPr>
                <w:rFonts w:ascii="Arial" w:hAnsi="Arial" w:cs="Arial"/>
                <w:szCs w:val="22"/>
                <w:lang w:eastAsia="en-AU"/>
              </w:rPr>
            </w:pPr>
          </w:p>
          <w:p w14:paraId="473F627A" w14:textId="77777777" w:rsidR="004411BF" w:rsidRPr="00D30948" w:rsidRDefault="004411BF" w:rsidP="00EC65EF">
            <w:pPr>
              <w:spacing w:before="20" w:after="20"/>
              <w:contextualSpacing/>
              <w:jc w:val="both"/>
              <w:rPr>
                <w:rFonts w:ascii="Arial" w:hAnsi="Arial" w:cs="Arial"/>
                <w:szCs w:val="22"/>
                <w:lang w:eastAsia="en-AU"/>
              </w:rPr>
            </w:pPr>
            <w:r w:rsidRPr="00D30948">
              <w:rPr>
                <w:rFonts w:ascii="Arial" w:hAnsi="Arial" w:cs="Arial"/>
                <w:szCs w:val="22"/>
                <w:lang w:eastAsia="en-AU"/>
              </w:rPr>
              <w:t>The consent authority must have regard to the objectives for development in a zone when determining a development application in respect of land within a zone.</w:t>
            </w:r>
          </w:p>
          <w:p w14:paraId="65B1CB98" w14:textId="77777777" w:rsidR="004411BF" w:rsidRPr="00D30948" w:rsidRDefault="004411BF" w:rsidP="00EC65EF">
            <w:pPr>
              <w:spacing w:before="20" w:after="20"/>
              <w:contextualSpacing/>
              <w:jc w:val="both"/>
              <w:rPr>
                <w:rFonts w:ascii="Arial" w:hAnsi="Arial" w:cs="Arial"/>
                <w:szCs w:val="22"/>
                <w:lang w:eastAsia="en-AU"/>
              </w:rPr>
            </w:pPr>
          </w:p>
          <w:p w14:paraId="70DC67EC" w14:textId="77777777" w:rsidR="004411BF" w:rsidRPr="00D30948" w:rsidRDefault="004411BF" w:rsidP="00EC65EF">
            <w:pPr>
              <w:spacing w:before="20" w:after="20"/>
              <w:contextualSpacing/>
              <w:jc w:val="both"/>
              <w:rPr>
                <w:rFonts w:ascii="Arial" w:hAnsi="Arial" w:cs="Arial"/>
                <w:i/>
                <w:iCs/>
                <w:szCs w:val="22"/>
                <w:lang w:eastAsia="en-AU"/>
              </w:rPr>
            </w:pPr>
            <w:r w:rsidRPr="00D30948">
              <w:rPr>
                <w:rFonts w:ascii="Arial" w:hAnsi="Arial" w:cs="Arial"/>
                <w:i/>
                <w:iCs/>
                <w:szCs w:val="22"/>
                <w:lang w:eastAsia="en-AU"/>
              </w:rPr>
              <w:t xml:space="preserve">R3 – Medium Density Residential </w:t>
            </w:r>
          </w:p>
          <w:p w14:paraId="528BC38B" w14:textId="77777777" w:rsidR="004411BF" w:rsidRPr="00D30948" w:rsidRDefault="004411BF" w:rsidP="004411BF">
            <w:pPr>
              <w:numPr>
                <w:ilvl w:val="0"/>
                <w:numId w:val="1"/>
              </w:numPr>
              <w:shd w:val="clear" w:color="auto" w:fill="FFFFFF"/>
              <w:ind w:left="347" w:hanging="283"/>
              <w:contextualSpacing/>
              <w:jc w:val="both"/>
              <w:rPr>
                <w:rFonts w:ascii="Arial" w:hAnsi="Arial" w:cs="Arial"/>
                <w:color w:val="000000"/>
                <w:szCs w:val="22"/>
                <w:lang w:val="en" w:eastAsia="en-AU"/>
              </w:rPr>
            </w:pPr>
            <w:r w:rsidRPr="00D30948">
              <w:rPr>
                <w:rFonts w:ascii="Arial" w:hAnsi="Arial" w:cs="Arial"/>
                <w:color w:val="000000"/>
                <w:szCs w:val="22"/>
                <w:lang w:val="en" w:eastAsia="en-AU"/>
              </w:rPr>
              <w:t>To enable other land uses that provide facilities or services to meet the day to day needs of residents.</w:t>
            </w:r>
          </w:p>
          <w:p w14:paraId="56D97A3F" w14:textId="77777777" w:rsidR="004411BF" w:rsidRPr="001E600D" w:rsidRDefault="004411BF" w:rsidP="004411BF">
            <w:pPr>
              <w:numPr>
                <w:ilvl w:val="0"/>
                <w:numId w:val="1"/>
              </w:numPr>
              <w:shd w:val="clear" w:color="auto" w:fill="FFFFFF"/>
              <w:ind w:left="347" w:hanging="283"/>
              <w:contextualSpacing/>
              <w:jc w:val="both"/>
              <w:rPr>
                <w:rFonts w:ascii="Arial" w:hAnsi="Arial" w:cs="Arial"/>
                <w:color w:val="000000"/>
                <w:szCs w:val="22"/>
                <w:lang w:val="en" w:eastAsia="en-AU"/>
              </w:rPr>
            </w:pPr>
            <w:r w:rsidRPr="00D30948">
              <w:rPr>
                <w:rFonts w:ascii="Arial" w:hAnsi="Arial" w:cs="Arial"/>
                <w:color w:val="000000"/>
                <w:szCs w:val="22"/>
                <w:lang w:val="en" w:eastAsia="en-AU"/>
              </w:rPr>
              <w:t>To support the well-being of the community, including educational, recreational, community, religious and other activities where compatible with the amenity of a medium density residential environment.</w:t>
            </w:r>
          </w:p>
        </w:tc>
        <w:tc>
          <w:tcPr>
            <w:tcW w:w="4111" w:type="dxa"/>
          </w:tcPr>
          <w:p w14:paraId="7033990D" w14:textId="77777777" w:rsidR="004411BF" w:rsidRDefault="004411BF" w:rsidP="00EC65EF">
            <w:pPr>
              <w:contextualSpacing/>
              <w:jc w:val="both"/>
              <w:rPr>
                <w:rFonts w:ascii="Arial" w:hAnsi="Arial" w:cs="Arial"/>
                <w:szCs w:val="22"/>
                <w:lang w:val="en-US"/>
              </w:rPr>
            </w:pPr>
            <w:r w:rsidRPr="00D30948">
              <w:rPr>
                <w:rFonts w:ascii="Arial" w:hAnsi="Arial" w:cs="Arial"/>
                <w:szCs w:val="22"/>
                <w:lang w:val="en-US"/>
              </w:rPr>
              <w:t xml:space="preserve">The site is located within an R3 zone which encourages a variety of uses aimed at supporting the needs of the community. </w:t>
            </w:r>
          </w:p>
          <w:p w14:paraId="06838395" w14:textId="77777777" w:rsidR="004411BF" w:rsidRDefault="004411BF" w:rsidP="00EC65EF">
            <w:pPr>
              <w:contextualSpacing/>
              <w:jc w:val="both"/>
              <w:rPr>
                <w:rFonts w:ascii="Arial" w:hAnsi="Arial" w:cs="Arial"/>
                <w:szCs w:val="22"/>
                <w:lang w:val="en-US"/>
              </w:rPr>
            </w:pPr>
          </w:p>
          <w:p w14:paraId="7E5BA858" w14:textId="77777777" w:rsidR="004411BF" w:rsidRPr="00D30948" w:rsidRDefault="004411BF" w:rsidP="00EC65EF">
            <w:pPr>
              <w:contextualSpacing/>
              <w:jc w:val="both"/>
              <w:rPr>
                <w:rFonts w:ascii="Arial" w:hAnsi="Arial" w:cs="Arial"/>
                <w:szCs w:val="22"/>
                <w:lang w:val="en-US"/>
              </w:rPr>
            </w:pPr>
            <w:r w:rsidRPr="00D30948">
              <w:rPr>
                <w:rFonts w:ascii="Arial" w:hAnsi="Arial" w:cs="Arial"/>
                <w:szCs w:val="22"/>
                <w:lang w:val="en-US"/>
              </w:rPr>
              <w:t>The proposed development will contribute to community needs by providing an educational building associated with the approved Oran Park Anglican College. The proposed school building</w:t>
            </w:r>
            <w:r>
              <w:rPr>
                <w:rFonts w:ascii="Arial" w:hAnsi="Arial" w:cs="Arial"/>
                <w:szCs w:val="22"/>
                <w:lang w:val="en-US"/>
              </w:rPr>
              <w:t>s</w:t>
            </w:r>
            <w:r w:rsidRPr="00D30948">
              <w:rPr>
                <w:rFonts w:ascii="Arial" w:hAnsi="Arial" w:cs="Arial"/>
                <w:szCs w:val="22"/>
                <w:lang w:val="en-US"/>
              </w:rPr>
              <w:t xml:space="preserve"> will expand upon the existing site and provide an additional facility to service growing community and in particular the growing number of families in the area.</w:t>
            </w:r>
          </w:p>
          <w:p w14:paraId="1D56212C" w14:textId="77777777" w:rsidR="004411BF" w:rsidRPr="00D30948" w:rsidRDefault="004411BF" w:rsidP="00EC65EF">
            <w:pPr>
              <w:spacing w:before="20" w:after="20"/>
              <w:contextualSpacing/>
              <w:jc w:val="both"/>
              <w:rPr>
                <w:rFonts w:ascii="Arial" w:hAnsi="Arial" w:cs="Arial"/>
                <w:szCs w:val="22"/>
                <w:lang w:eastAsia="en-AU"/>
              </w:rPr>
            </w:pPr>
          </w:p>
        </w:tc>
        <w:tc>
          <w:tcPr>
            <w:tcW w:w="709" w:type="dxa"/>
          </w:tcPr>
          <w:p w14:paraId="0C43495D" w14:textId="77777777" w:rsidR="004411BF" w:rsidRPr="00D30948" w:rsidRDefault="004411BF" w:rsidP="00EC65EF">
            <w:pPr>
              <w:spacing w:before="20" w:after="20"/>
              <w:contextualSpacing/>
              <w:jc w:val="both"/>
              <w:rPr>
                <w:rFonts w:ascii="Arial" w:hAnsi="Arial" w:cs="Arial"/>
                <w:bCs/>
                <w:szCs w:val="22"/>
                <w:lang w:eastAsia="en-AU"/>
              </w:rPr>
            </w:pPr>
            <w:r w:rsidRPr="00D30948">
              <w:rPr>
                <w:rFonts w:ascii="Arial" w:hAnsi="Arial" w:cs="Arial"/>
                <w:bCs/>
                <w:szCs w:val="22"/>
                <w:lang w:eastAsia="en-AU"/>
              </w:rPr>
              <w:t>Yes.</w:t>
            </w:r>
          </w:p>
        </w:tc>
      </w:tr>
      <w:tr w:rsidR="004411BF" w:rsidRPr="00D30948" w14:paraId="07DE5C00" w14:textId="77777777" w:rsidTr="00EC65EF">
        <w:trPr>
          <w:trHeight w:val="214"/>
        </w:trPr>
        <w:tc>
          <w:tcPr>
            <w:tcW w:w="4395" w:type="dxa"/>
            <w:shd w:val="clear" w:color="auto" w:fill="auto"/>
          </w:tcPr>
          <w:p w14:paraId="2C7E8636" w14:textId="77777777" w:rsidR="004411BF" w:rsidRPr="00D30948" w:rsidRDefault="004411BF" w:rsidP="00EC65EF">
            <w:pPr>
              <w:spacing w:before="20" w:after="20"/>
              <w:contextualSpacing/>
              <w:jc w:val="both"/>
              <w:rPr>
                <w:rFonts w:ascii="Arial" w:hAnsi="Arial" w:cs="Arial"/>
                <w:b/>
                <w:szCs w:val="22"/>
                <w:lang w:eastAsia="en-AU"/>
              </w:rPr>
            </w:pPr>
            <w:r w:rsidRPr="00D30948">
              <w:rPr>
                <w:rFonts w:ascii="Arial" w:hAnsi="Arial" w:cs="Arial"/>
                <w:b/>
                <w:szCs w:val="22"/>
                <w:lang w:eastAsia="en-AU"/>
              </w:rPr>
              <w:t>Appendix 1, 4.3 Height of buildings</w:t>
            </w:r>
          </w:p>
          <w:p w14:paraId="0CEF9857" w14:textId="77777777" w:rsidR="004411BF" w:rsidRPr="00D30948" w:rsidRDefault="004411BF" w:rsidP="00EC65EF">
            <w:pPr>
              <w:spacing w:before="20" w:after="20"/>
              <w:contextualSpacing/>
              <w:jc w:val="both"/>
              <w:rPr>
                <w:rFonts w:ascii="Arial" w:hAnsi="Arial" w:cs="Arial"/>
                <w:szCs w:val="22"/>
                <w:lang w:eastAsia="en-AU"/>
              </w:rPr>
            </w:pPr>
          </w:p>
          <w:p w14:paraId="5EB40976" w14:textId="77777777" w:rsidR="004411BF" w:rsidRPr="00D30948" w:rsidRDefault="004411BF" w:rsidP="00EC65EF">
            <w:pPr>
              <w:spacing w:before="20" w:after="20"/>
              <w:contextualSpacing/>
              <w:jc w:val="both"/>
              <w:rPr>
                <w:rFonts w:ascii="Arial" w:hAnsi="Arial" w:cs="Arial"/>
                <w:szCs w:val="22"/>
                <w:lang w:eastAsia="en-AU"/>
              </w:rPr>
            </w:pPr>
            <w:r w:rsidRPr="00D30948">
              <w:rPr>
                <w:rFonts w:ascii="Arial" w:hAnsi="Arial" w:cs="Arial"/>
                <w:szCs w:val="22"/>
                <w:lang w:eastAsia="en-AU"/>
              </w:rPr>
              <w:t>Maximum buildings heights must not exceed the maximum building height shown on the Height of Buildings Map.</w:t>
            </w:r>
          </w:p>
          <w:p w14:paraId="3BDBD520" w14:textId="77777777" w:rsidR="004411BF" w:rsidRPr="00D30948" w:rsidRDefault="004411BF" w:rsidP="00EC65EF">
            <w:pPr>
              <w:spacing w:before="20" w:after="20"/>
              <w:contextualSpacing/>
              <w:jc w:val="both"/>
              <w:rPr>
                <w:rFonts w:ascii="Arial" w:hAnsi="Arial" w:cs="Arial"/>
                <w:szCs w:val="22"/>
                <w:lang w:eastAsia="en-AU"/>
              </w:rPr>
            </w:pPr>
          </w:p>
          <w:p w14:paraId="7B8BFD9F" w14:textId="77777777" w:rsidR="004411BF" w:rsidRPr="00D30948" w:rsidRDefault="004411BF" w:rsidP="00EC65EF">
            <w:pPr>
              <w:spacing w:before="20" w:after="20"/>
              <w:contextualSpacing/>
              <w:jc w:val="both"/>
              <w:rPr>
                <w:rFonts w:ascii="Arial" w:hAnsi="Arial" w:cs="Arial"/>
                <w:szCs w:val="22"/>
                <w:lang w:eastAsia="en-AU"/>
              </w:rPr>
            </w:pPr>
            <w:r w:rsidRPr="00D30948">
              <w:rPr>
                <w:rFonts w:ascii="Arial" w:hAnsi="Arial" w:cs="Arial"/>
                <w:szCs w:val="22"/>
                <w:lang w:eastAsia="en-AU"/>
              </w:rPr>
              <w:t>The maximum building height for this site is 9.5m.</w:t>
            </w:r>
          </w:p>
        </w:tc>
        <w:tc>
          <w:tcPr>
            <w:tcW w:w="4111" w:type="dxa"/>
          </w:tcPr>
          <w:p w14:paraId="448DA42A" w14:textId="77777777" w:rsidR="004411BF" w:rsidRPr="001E600D" w:rsidRDefault="004411BF" w:rsidP="00EC65EF">
            <w:pPr>
              <w:spacing w:before="20" w:after="20"/>
              <w:contextualSpacing/>
              <w:jc w:val="both"/>
              <w:rPr>
                <w:rFonts w:ascii="Arial" w:hAnsi="Arial" w:cs="Arial"/>
                <w:szCs w:val="22"/>
                <w:lang w:eastAsia="en-AU"/>
              </w:rPr>
            </w:pPr>
            <w:r w:rsidRPr="00D30948">
              <w:rPr>
                <w:rFonts w:ascii="Arial" w:hAnsi="Arial" w:cs="Arial"/>
                <w:szCs w:val="22"/>
                <w:lang w:eastAsia="en-AU"/>
              </w:rPr>
              <w:t>The maximum height is 9.</w:t>
            </w:r>
            <w:r>
              <w:rPr>
                <w:rFonts w:ascii="Arial" w:hAnsi="Arial" w:cs="Arial"/>
                <w:szCs w:val="22"/>
                <w:lang w:eastAsia="en-AU"/>
              </w:rPr>
              <w:t>3</w:t>
            </w:r>
            <w:r w:rsidRPr="00D30948">
              <w:rPr>
                <w:rFonts w:ascii="Arial" w:hAnsi="Arial" w:cs="Arial"/>
                <w:szCs w:val="22"/>
                <w:lang w:eastAsia="en-AU"/>
              </w:rPr>
              <w:t xml:space="preserve"> metres. A condition has been recommended requiring a survey report be prepared confirming the building height is consistent with the plans prior to the development proceeding beyond frame stage.</w:t>
            </w:r>
          </w:p>
        </w:tc>
        <w:tc>
          <w:tcPr>
            <w:tcW w:w="709" w:type="dxa"/>
          </w:tcPr>
          <w:p w14:paraId="08DFAC36" w14:textId="77777777" w:rsidR="004411BF" w:rsidRPr="00D30948" w:rsidRDefault="004411BF" w:rsidP="00EC65EF">
            <w:pPr>
              <w:spacing w:before="20" w:after="20"/>
              <w:contextualSpacing/>
              <w:jc w:val="both"/>
              <w:rPr>
                <w:rFonts w:ascii="Arial" w:hAnsi="Arial" w:cs="Arial"/>
                <w:bCs/>
                <w:szCs w:val="22"/>
                <w:lang w:eastAsia="en-AU"/>
              </w:rPr>
            </w:pPr>
            <w:r w:rsidRPr="00D30948">
              <w:rPr>
                <w:rFonts w:ascii="Arial" w:hAnsi="Arial" w:cs="Arial"/>
                <w:bCs/>
                <w:szCs w:val="22"/>
                <w:lang w:eastAsia="en-AU"/>
              </w:rPr>
              <w:t>Yes.</w:t>
            </w:r>
          </w:p>
        </w:tc>
      </w:tr>
      <w:tr w:rsidR="004411BF" w:rsidRPr="00D30948" w14:paraId="3D66A46D" w14:textId="77777777" w:rsidTr="00EC65EF">
        <w:trPr>
          <w:trHeight w:val="214"/>
        </w:trPr>
        <w:tc>
          <w:tcPr>
            <w:tcW w:w="4395" w:type="dxa"/>
            <w:shd w:val="clear" w:color="auto" w:fill="auto"/>
          </w:tcPr>
          <w:p w14:paraId="787C314E" w14:textId="77777777" w:rsidR="004411BF" w:rsidRPr="00D30948" w:rsidRDefault="004411BF" w:rsidP="00EC65EF">
            <w:pPr>
              <w:spacing w:before="20" w:after="20"/>
              <w:contextualSpacing/>
              <w:jc w:val="both"/>
              <w:rPr>
                <w:rFonts w:ascii="Arial" w:hAnsi="Arial" w:cs="Arial"/>
                <w:b/>
                <w:szCs w:val="22"/>
                <w:lang w:eastAsia="en-AU"/>
              </w:rPr>
            </w:pPr>
            <w:r w:rsidRPr="00D30948">
              <w:rPr>
                <w:rFonts w:ascii="Arial" w:hAnsi="Arial" w:cs="Arial"/>
                <w:b/>
                <w:szCs w:val="22"/>
                <w:lang w:eastAsia="en-AU"/>
              </w:rPr>
              <w:t>Appendix 1, 5.9 Preservation of trees or vegetation</w:t>
            </w:r>
          </w:p>
          <w:p w14:paraId="4F7C7E36" w14:textId="77777777" w:rsidR="004411BF" w:rsidRPr="00D30948" w:rsidRDefault="004411BF" w:rsidP="00EC65EF">
            <w:pPr>
              <w:shd w:val="clear" w:color="auto" w:fill="FFFFFF"/>
              <w:spacing w:before="20" w:after="20"/>
              <w:contextualSpacing/>
              <w:jc w:val="both"/>
              <w:rPr>
                <w:rFonts w:ascii="Arial" w:hAnsi="Arial" w:cs="Arial"/>
                <w:color w:val="000000"/>
                <w:szCs w:val="22"/>
                <w:lang w:eastAsia="en-AU"/>
              </w:rPr>
            </w:pPr>
          </w:p>
          <w:p w14:paraId="7602C7A3" w14:textId="77777777" w:rsidR="004411BF" w:rsidRPr="00D30948" w:rsidRDefault="004411BF" w:rsidP="00EC65EF">
            <w:pPr>
              <w:shd w:val="clear" w:color="auto" w:fill="FFFFFF"/>
              <w:spacing w:before="20" w:after="20"/>
              <w:contextualSpacing/>
              <w:jc w:val="both"/>
              <w:rPr>
                <w:rFonts w:ascii="Arial" w:hAnsi="Arial" w:cs="Arial"/>
                <w:color w:val="000000"/>
                <w:szCs w:val="22"/>
                <w:lang w:eastAsia="en-AU"/>
              </w:rPr>
            </w:pPr>
            <w:r w:rsidRPr="00D30948">
              <w:rPr>
                <w:rFonts w:ascii="Arial" w:hAnsi="Arial" w:cs="Arial"/>
                <w:szCs w:val="22"/>
                <w:lang w:eastAsia="en-AU"/>
              </w:rPr>
              <w:t>Development consent is required for tree removal and tree related works.</w:t>
            </w:r>
          </w:p>
        </w:tc>
        <w:tc>
          <w:tcPr>
            <w:tcW w:w="4111" w:type="dxa"/>
          </w:tcPr>
          <w:p w14:paraId="63B1B93D" w14:textId="77777777" w:rsidR="004411BF" w:rsidRPr="00D30948" w:rsidRDefault="004411BF" w:rsidP="00EC65EF">
            <w:pPr>
              <w:spacing w:before="20" w:after="20"/>
              <w:contextualSpacing/>
              <w:jc w:val="both"/>
              <w:rPr>
                <w:rFonts w:ascii="Arial" w:hAnsi="Arial" w:cs="Arial"/>
                <w:szCs w:val="22"/>
                <w:lang w:eastAsia="en-AU"/>
              </w:rPr>
            </w:pPr>
            <w:r w:rsidRPr="00D30948">
              <w:rPr>
                <w:rFonts w:ascii="Arial" w:hAnsi="Arial" w:cs="Arial"/>
                <w:szCs w:val="22"/>
                <w:lang w:eastAsia="en-AU"/>
              </w:rPr>
              <w:t xml:space="preserve">No tree removal is proposed which warrants an assessment. </w:t>
            </w:r>
          </w:p>
        </w:tc>
        <w:tc>
          <w:tcPr>
            <w:tcW w:w="709" w:type="dxa"/>
          </w:tcPr>
          <w:p w14:paraId="341C5145" w14:textId="77777777" w:rsidR="004411BF" w:rsidRPr="00D30948" w:rsidRDefault="004411BF" w:rsidP="00EC65EF">
            <w:pPr>
              <w:spacing w:before="20" w:after="20"/>
              <w:contextualSpacing/>
              <w:jc w:val="both"/>
              <w:rPr>
                <w:rFonts w:ascii="Arial" w:hAnsi="Arial" w:cs="Arial"/>
                <w:bCs/>
                <w:szCs w:val="22"/>
                <w:lang w:eastAsia="en-AU"/>
              </w:rPr>
            </w:pPr>
            <w:r w:rsidRPr="00D30948">
              <w:rPr>
                <w:rFonts w:ascii="Arial" w:hAnsi="Arial" w:cs="Arial"/>
                <w:bCs/>
                <w:szCs w:val="22"/>
                <w:lang w:eastAsia="en-AU"/>
              </w:rPr>
              <w:t>Yes.</w:t>
            </w:r>
          </w:p>
        </w:tc>
      </w:tr>
      <w:tr w:rsidR="004411BF" w:rsidRPr="00D30948" w14:paraId="48BA4157" w14:textId="77777777" w:rsidTr="00EC65EF">
        <w:trPr>
          <w:trHeight w:val="214"/>
        </w:trPr>
        <w:tc>
          <w:tcPr>
            <w:tcW w:w="4395" w:type="dxa"/>
            <w:shd w:val="clear" w:color="auto" w:fill="auto"/>
          </w:tcPr>
          <w:p w14:paraId="25BEB3B4" w14:textId="77777777" w:rsidR="004411BF" w:rsidRPr="00D30948" w:rsidRDefault="004411BF" w:rsidP="00EC65EF">
            <w:pPr>
              <w:spacing w:before="20" w:after="20"/>
              <w:contextualSpacing/>
              <w:jc w:val="both"/>
              <w:rPr>
                <w:rFonts w:ascii="Arial" w:hAnsi="Arial" w:cs="Arial"/>
                <w:b/>
                <w:szCs w:val="22"/>
                <w:lang w:eastAsia="en-AU"/>
              </w:rPr>
            </w:pPr>
            <w:r w:rsidRPr="00D30948">
              <w:rPr>
                <w:rFonts w:ascii="Arial" w:hAnsi="Arial" w:cs="Arial"/>
                <w:b/>
                <w:szCs w:val="22"/>
                <w:lang w:eastAsia="en-AU"/>
              </w:rPr>
              <w:t>Appendix 1, 6.1 Public utility infrastructure</w:t>
            </w:r>
          </w:p>
          <w:p w14:paraId="2000CC85" w14:textId="77777777" w:rsidR="004411BF" w:rsidRPr="00D30948" w:rsidRDefault="004411BF" w:rsidP="00EC65EF">
            <w:pPr>
              <w:spacing w:before="20" w:after="20"/>
              <w:contextualSpacing/>
              <w:jc w:val="both"/>
              <w:rPr>
                <w:rFonts w:ascii="Arial" w:hAnsi="Arial" w:cs="Arial"/>
                <w:color w:val="000000"/>
                <w:szCs w:val="22"/>
              </w:rPr>
            </w:pPr>
          </w:p>
          <w:p w14:paraId="59B2D2C5" w14:textId="77777777" w:rsidR="004411BF" w:rsidRPr="00D30948" w:rsidRDefault="004411BF" w:rsidP="00EC65EF">
            <w:pPr>
              <w:spacing w:before="20" w:after="20"/>
              <w:contextualSpacing/>
              <w:jc w:val="both"/>
              <w:rPr>
                <w:rFonts w:ascii="Arial" w:hAnsi="Arial" w:cs="Arial"/>
                <w:szCs w:val="22"/>
                <w:lang w:eastAsia="en-AU"/>
              </w:rPr>
            </w:pPr>
            <w:r w:rsidRPr="00D30948">
              <w:rPr>
                <w:rFonts w:ascii="Arial" w:hAnsi="Arial" w:cs="Arial"/>
                <w:color w:val="000000"/>
                <w:szCs w:val="22"/>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4111" w:type="dxa"/>
          </w:tcPr>
          <w:p w14:paraId="1AEFB29C" w14:textId="351E1603" w:rsidR="004411BF" w:rsidRDefault="004411BF" w:rsidP="00EC65EF">
            <w:pPr>
              <w:spacing w:before="20" w:after="20"/>
              <w:contextualSpacing/>
              <w:jc w:val="both"/>
              <w:rPr>
                <w:rFonts w:ascii="Arial" w:hAnsi="Arial" w:cs="Arial"/>
                <w:b/>
                <w:bCs/>
                <w:szCs w:val="22"/>
                <w:lang w:val="en-US"/>
              </w:rPr>
            </w:pPr>
            <w:r w:rsidRPr="00D30948">
              <w:rPr>
                <w:rFonts w:ascii="Arial" w:hAnsi="Arial" w:cs="Arial"/>
                <w:szCs w:val="22"/>
                <w:lang w:val="en-US"/>
              </w:rPr>
              <w:t xml:space="preserve">Public utilities were made available to the site under </w:t>
            </w:r>
            <w:r w:rsidRPr="004411BF">
              <w:rPr>
                <w:rFonts w:ascii="Arial" w:hAnsi="Arial" w:cs="Arial"/>
                <w:szCs w:val="22"/>
                <w:lang w:val="en-US"/>
              </w:rPr>
              <w:t>DA/2008/98.</w:t>
            </w:r>
            <w:r w:rsidRPr="00D30948">
              <w:rPr>
                <w:rFonts w:ascii="Arial" w:hAnsi="Arial" w:cs="Arial"/>
                <w:szCs w:val="22"/>
                <w:lang w:val="en-US"/>
              </w:rPr>
              <w:t xml:space="preserve"> </w:t>
            </w:r>
            <w:r w:rsidR="00B17ECE">
              <w:rPr>
                <w:rFonts w:ascii="Arial" w:hAnsi="Arial" w:cs="Arial"/>
                <w:szCs w:val="22"/>
                <w:lang w:val="en-US"/>
              </w:rPr>
              <w:t>Accordingly, existing infrastructure is available and sufficient to meet the demands required of the additional building.</w:t>
            </w:r>
          </w:p>
          <w:p w14:paraId="4179D329" w14:textId="77777777" w:rsidR="004411BF" w:rsidRDefault="004411BF" w:rsidP="00EC65EF">
            <w:pPr>
              <w:spacing w:before="20" w:after="20"/>
              <w:contextualSpacing/>
              <w:jc w:val="both"/>
              <w:rPr>
                <w:rFonts w:ascii="Arial" w:hAnsi="Arial" w:cs="Arial"/>
                <w:b/>
                <w:bCs/>
                <w:szCs w:val="22"/>
                <w:lang w:val="en-US"/>
              </w:rPr>
            </w:pPr>
          </w:p>
          <w:p w14:paraId="3C4CC235" w14:textId="5E3F32CD" w:rsidR="004411BF" w:rsidRPr="00D30948" w:rsidRDefault="004411BF" w:rsidP="00EC65EF">
            <w:pPr>
              <w:spacing w:before="20" w:after="20"/>
              <w:contextualSpacing/>
              <w:jc w:val="both"/>
              <w:rPr>
                <w:rFonts w:ascii="Arial" w:hAnsi="Arial" w:cs="Arial"/>
                <w:szCs w:val="22"/>
                <w:lang w:eastAsia="en-AU"/>
              </w:rPr>
            </w:pPr>
            <w:r w:rsidRPr="004411BF">
              <w:rPr>
                <w:rFonts w:ascii="Arial" w:hAnsi="Arial" w:cs="Arial"/>
                <w:b/>
                <w:bCs/>
                <w:szCs w:val="22"/>
                <w:lang w:val="en-US"/>
              </w:rPr>
              <w:t xml:space="preserve"> </w:t>
            </w:r>
          </w:p>
        </w:tc>
        <w:tc>
          <w:tcPr>
            <w:tcW w:w="709" w:type="dxa"/>
          </w:tcPr>
          <w:p w14:paraId="67C341A5" w14:textId="77777777" w:rsidR="004411BF" w:rsidRPr="00D30948" w:rsidRDefault="004411BF" w:rsidP="00EC65EF">
            <w:pPr>
              <w:spacing w:before="20" w:after="20"/>
              <w:contextualSpacing/>
              <w:jc w:val="both"/>
              <w:rPr>
                <w:rFonts w:ascii="Arial" w:hAnsi="Arial" w:cs="Arial"/>
                <w:bCs/>
                <w:szCs w:val="22"/>
                <w:lang w:eastAsia="en-AU"/>
              </w:rPr>
            </w:pPr>
            <w:r w:rsidRPr="00D30948">
              <w:rPr>
                <w:rFonts w:ascii="Arial" w:hAnsi="Arial" w:cs="Arial"/>
                <w:bCs/>
                <w:szCs w:val="22"/>
                <w:lang w:eastAsia="en-AU"/>
              </w:rPr>
              <w:t>Yes.</w:t>
            </w:r>
          </w:p>
        </w:tc>
      </w:tr>
    </w:tbl>
    <w:p w14:paraId="0D237FC1" w14:textId="77777777" w:rsidR="007413AB" w:rsidRDefault="00B17ECE"/>
    <w:sectPr w:rsidR="00741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47312"/>
    <w:multiLevelType w:val="hybridMultilevel"/>
    <w:tmpl w:val="C0F4F858"/>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BF"/>
    <w:rsid w:val="004411BF"/>
    <w:rsid w:val="00690BD5"/>
    <w:rsid w:val="009B734A"/>
    <w:rsid w:val="00B17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0884"/>
  <w15:chartTrackingRefBased/>
  <w15:docId w15:val="{9D42C2F5-EA82-459C-B9E0-82380467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BF"/>
    <w:pPr>
      <w:spacing w:after="0" w:line="240" w:lineRule="auto"/>
    </w:pPr>
    <w:rPr>
      <w:rFonts w:ascii="Bookman Old Style" w:eastAsia="Times New Roman" w:hAnsi="Bookman Old Styl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2066</Characters>
  <Application>Microsoft Office Word</Application>
  <DocSecurity>0</DocSecurity>
  <Lines>79</Lines>
  <Paragraphs>24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2</cp:revision>
  <dcterms:created xsi:type="dcterms:W3CDTF">2022-12-21T20:40:00Z</dcterms:created>
  <dcterms:modified xsi:type="dcterms:W3CDTF">2022-12-21T20:46:00Z</dcterms:modified>
</cp:coreProperties>
</file>